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93EE" w14:textId="4276FE87" w:rsidR="00E93018" w:rsidRDefault="00AF610C" w:rsidP="00E93018">
      <w:pPr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proofErr w:type="gramStart"/>
      <w:r w:rsidRPr="00AF610C">
        <w:rPr>
          <w:rFonts w:ascii="Times New Roman" w:eastAsia="標楷體" w:hAnsi="Times New Roman" w:cs="Times New Roman" w:hint="eastAsia"/>
          <w:b/>
          <w:szCs w:val="24"/>
        </w:rPr>
        <w:t>111</w:t>
      </w:r>
      <w:proofErr w:type="gramEnd"/>
      <w:r w:rsidRPr="00AF610C">
        <w:rPr>
          <w:rFonts w:ascii="Times New Roman" w:eastAsia="標楷體" w:hAnsi="Times New Roman" w:cs="Times New Roman" w:hint="eastAsia"/>
          <w:b/>
          <w:szCs w:val="24"/>
        </w:rPr>
        <w:t>年度企業誠信經營運作及執行情形</w:t>
      </w: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10085"/>
        <w:gridCol w:w="6"/>
      </w:tblGrid>
      <w:tr w:rsidR="00B92112" w:rsidRPr="00BE1538" w14:paraId="1F8EA548" w14:textId="77777777" w:rsidTr="00264410">
        <w:trPr>
          <w:tblHeader/>
        </w:trPr>
        <w:tc>
          <w:tcPr>
            <w:tcW w:w="5049" w:type="dxa"/>
            <w:shd w:val="clear" w:color="auto" w:fill="auto"/>
            <w:vAlign w:val="center"/>
          </w:tcPr>
          <w:p w14:paraId="4A86143D" w14:textId="77777777" w:rsidR="00B92112" w:rsidRPr="00BE1538" w:rsidRDefault="00B92112" w:rsidP="000B44A2">
            <w:pPr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BE1538">
              <w:rPr>
                <w:rFonts w:ascii="Calibri" w:eastAsia="標楷體" w:hAnsi="Calibri"/>
                <w:color w:val="000000"/>
                <w:sz w:val="22"/>
              </w:rPr>
              <w:t>評</w:t>
            </w:r>
            <w:r w:rsidRPr="00BE1538">
              <w:rPr>
                <w:rFonts w:ascii="Calibri" w:eastAsia="標楷體" w:hAnsi="Calibri" w:hint="eastAsia"/>
                <w:color w:val="000000"/>
                <w:sz w:val="22"/>
              </w:rPr>
              <w:t xml:space="preserve"> </w:t>
            </w:r>
            <w:r w:rsidRPr="00BE1538">
              <w:rPr>
                <w:rFonts w:ascii="Calibri" w:eastAsia="標楷體" w:hAnsi="Calibri"/>
                <w:color w:val="000000"/>
                <w:sz w:val="22"/>
              </w:rPr>
              <w:t>估</w:t>
            </w:r>
            <w:r w:rsidRPr="00BE1538">
              <w:rPr>
                <w:rFonts w:ascii="Calibri" w:eastAsia="標楷體" w:hAnsi="Calibri" w:hint="eastAsia"/>
                <w:color w:val="000000"/>
                <w:sz w:val="22"/>
              </w:rPr>
              <w:t xml:space="preserve"> </w:t>
            </w:r>
            <w:r w:rsidRPr="00BE1538">
              <w:rPr>
                <w:rFonts w:ascii="Calibri" w:eastAsia="標楷體" w:hAnsi="Calibri"/>
                <w:color w:val="000000"/>
                <w:sz w:val="22"/>
              </w:rPr>
              <w:t>項</w:t>
            </w:r>
            <w:r w:rsidRPr="00BE1538">
              <w:rPr>
                <w:rFonts w:ascii="Calibri" w:eastAsia="標楷體" w:hAnsi="Calibri" w:hint="eastAsia"/>
                <w:color w:val="000000"/>
                <w:sz w:val="22"/>
              </w:rPr>
              <w:t xml:space="preserve"> </w:t>
            </w:r>
            <w:r w:rsidRPr="00BE1538">
              <w:rPr>
                <w:rFonts w:ascii="Calibri" w:eastAsia="標楷體" w:hAnsi="Calibri"/>
                <w:color w:val="000000"/>
                <w:sz w:val="22"/>
              </w:rPr>
              <w:t>目</w:t>
            </w:r>
          </w:p>
        </w:tc>
        <w:tc>
          <w:tcPr>
            <w:tcW w:w="10091" w:type="dxa"/>
            <w:gridSpan w:val="2"/>
            <w:shd w:val="clear" w:color="auto" w:fill="auto"/>
            <w:vAlign w:val="center"/>
          </w:tcPr>
          <w:p w14:paraId="14C3332B" w14:textId="77777777" w:rsidR="00B92112" w:rsidRPr="00BE1538" w:rsidRDefault="00B92112" w:rsidP="000B44A2">
            <w:pPr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BE1538">
              <w:rPr>
                <w:rFonts w:ascii="Calibri" w:eastAsia="標楷體" w:hAnsi="Calibri"/>
                <w:color w:val="000000"/>
                <w:sz w:val="22"/>
              </w:rPr>
              <w:t>運作情形</w:t>
            </w:r>
          </w:p>
        </w:tc>
      </w:tr>
      <w:tr w:rsidR="00093BCC" w:rsidRPr="00093BCC" w14:paraId="2EBE102C" w14:textId="77777777" w:rsidTr="00264410">
        <w:tc>
          <w:tcPr>
            <w:tcW w:w="5049" w:type="dxa"/>
            <w:shd w:val="clear" w:color="auto" w:fill="auto"/>
          </w:tcPr>
          <w:p w14:paraId="4132D8A2" w14:textId="77777777" w:rsidR="00093BCC" w:rsidRPr="00093BCC" w:rsidRDefault="00093BCC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一、訂定誠信經營政策及方案</w:t>
            </w:r>
          </w:p>
          <w:p w14:paraId="56AD8A9A" w14:textId="77777777" w:rsidR="00093BCC" w:rsidRPr="00093BCC" w:rsidRDefault="00093BCC" w:rsidP="00093BC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公司是否制定經董事會通過之誠信經營政策，並於規章及對外文件中明示誠信經營之政策、作法，以及董事會與高階管理階層積極落實經營政策之承諾？</w:t>
            </w:r>
          </w:p>
          <w:p w14:paraId="5AAB2849" w14:textId="77777777" w:rsidR="00093BCC" w:rsidRPr="00093BCC" w:rsidRDefault="00093BCC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3355966" w14:textId="49903B91" w:rsidR="00093BCC" w:rsidRDefault="00093BCC" w:rsidP="00093BC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公司是否建立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不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誠信行為風險之評估機制，定期分析及評估營業範圍內具較高不誠信行為風險之營業活動，並據以訂定防範不誠信行為方案，且至少涵蓋「上市上櫃公司誠信經營守則」第七條第二項各款行為之防範措施？</w:t>
            </w:r>
          </w:p>
          <w:p w14:paraId="3D49FE32" w14:textId="77777777" w:rsidR="00093BCC" w:rsidRPr="00093BCC" w:rsidRDefault="00093BCC" w:rsidP="00093BC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60B398EF" w14:textId="77777777" w:rsidR="00093BCC" w:rsidRPr="00093BCC" w:rsidRDefault="00093BCC" w:rsidP="00093BC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公司是否於防範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不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誠信行為方案內明定作業程序、行為指南、違規之懲戒及申訴制度，且落實執行，並定期檢討修正前揭方案？</w:t>
            </w:r>
          </w:p>
        </w:tc>
        <w:tc>
          <w:tcPr>
            <w:tcW w:w="10091" w:type="dxa"/>
            <w:gridSpan w:val="2"/>
            <w:shd w:val="clear" w:color="auto" w:fill="auto"/>
          </w:tcPr>
          <w:p w14:paraId="65AC4A8D" w14:textId="77777777" w:rsidR="00093BCC" w:rsidRPr="00093BCC" w:rsidRDefault="00093BCC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DB4EF0C" w14:textId="77777777" w:rsidR="00093BCC" w:rsidRPr="00093BCC" w:rsidRDefault="00093BCC" w:rsidP="00093BCC">
            <w:pPr>
              <w:numPr>
                <w:ilvl w:val="0"/>
                <w:numId w:val="18"/>
              </w:numPr>
              <w:spacing w:line="260" w:lineRule="exact"/>
              <w:ind w:left="51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本公司以誠信、負責為營運政策之基礎，參考「上市上櫃公司誠信經營守則」制定本公司「誠信經營守則」經董事會通過，明訂公司誠信經營之政策、作法，董事會與管理階層應承諾積極落實，並據以建立良好之公司治理與風險控管機制，創造永續發展之經營環境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。</w:t>
            </w:r>
          </w:p>
          <w:p w14:paraId="50FE3432" w14:textId="741F4A50" w:rsidR="00093BCC" w:rsidRPr="00093BCC" w:rsidRDefault="00093BCC" w:rsidP="00093BCC">
            <w:pPr>
              <w:pStyle w:val="a8"/>
              <w:autoSpaceDE w:val="0"/>
              <w:autoSpaceDN w:val="0"/>
              <w:spacing w:line="260" w:lineRule="exact"/>
              <w:ind w:leftChars="0" w:left="51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3253D94" w14:textId="77777777" w:rsidR="00093BCC" w:rsidRPr="00093BCC" w:rsidRDefault="00093BCC" w:rsidP="00093BCC">
            <w:pPr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6B82153" w14:textId="77777777" w:rsidR="00093BCC" w:rsidRPr="00093BCC" w:rsidRDefault="00093BCC" w:rsidP="00093BCC">
            <w:pPr>
              <w:numPr>
                <w:ilvl w:val="0"/>
                <w:numId w:val="18"/>
              </w:numPr>
              <w:spacing w:line="260" w:lineRule="exact"/>
              <w:ind w:left="51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本公司之「誠信經營守則」涵蓋「上市上櫃公司誠信經營守則」第</w:t>
            </w: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7</w:t>
            </w: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條第</w:t>
            </w: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項各款行為之防範措施，並訂定「從業人員倫理道德規範宣導及舉報制度」及「工作規則」規範員工有違反法令規章、舞弊侵占等情事，依情節輕重予以口頭警告、申誡、記過、記大過、降職或解聘（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僱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）等處分，其涉及刑責者，移送法辦，藉由強化內部控制制度防範上述之情事發生。</w:t>
            </w:r>
          </w:p>
          <w:p w14:paraId="10B05D44" w14:textId="1370647D" w:rsidR="00093BCC" w:rsidRDefault="00093BCC" w:rsidP="00093BCC">
            <w:pPr>
              <w:spacing w:line="260" w:lineRule="exact"/>
              <w:ind w:left="3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  <w:p w14:paraId="59CBCE93" w14:textId="77777777" w:rsidR="00093BCC" w:rsidRPr="00093BCC" w:rsidRDefault="00093BCC" w:rsidP="00093BCC">
            <w:pPr>
              <w:spacing w:line="260" w:lineRule="exact"/>
              <w:ind w:left="3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  <w:p w14:paraId="3C40D449" w14:textId="77777777" w:rsidR="00093BCC" w:rsidRDefault="00093BCC" w:rsidP="00093BCC">
            <w:pPr>
              <w:numPr>
                <w:ilvl w:val="0"/>
                <w:numId w:val="18"/>
              </w:numPr>
              <w:spacing w:line="260" w:lineRule="exact"/>
              <w:ind w:left="51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本公司訂定「誠信經營守則」，要求董事及經理人以身作則，恪遵誠實信用原則，建立誠信篤實的企業文化。另訂定「從業人員倫理道德規範宣導及舉報制度」及「工作規則」說明違規之懲戒及申訴制度，且針對上述方案定期檢視並視運作情形適時修正。</w:t>
            </w:r>
          </w:p>
          <w:p w14:paraId="0C6F8E98" w14:textId="0078FAF9" w:rsidR="00093BCC" w:rsidRPr="00093BCC" w:rsidRDefault="00093BCC" w:rsidP="00093BCC">
            <w:pPr>
              <w:spacing w:line="260" w:lineRule="exact"/>
              <w:ind w:left="51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7DA6" w:rsidRPr="00093BCC" w14:paraId="5EEC55AE" w14:textId="77777777" w:rsidTr="00264410">
        <w:trPr>
          <w:trHeight w:val="3032"/>
        </w:trPr>
        <w:tc>
          <w:tcPr>
            <w:tcW w:w="5049" w:type="dxa"/>
            <w:shd w:val="clear" w:color="auto" w:fill="auto"/>
          </w:tcPr>
          <w:p w14:paraId="4C7F2F3E" w14:textId="77777777" w:rsidR="00C17DA6" w:rsidRPr="00093BCC" w:rsidRDefault="00C17DA6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二、落實誠信經營</w:t>
            </w:r>
          </w:p>
          <w:p w14:paraId="46442D66" w14:textId="77777777" w:rsidR="00C17DA6" w:rsidRPr="00093BCC" w:rsidRDefault="00C17DA6" w:rsidP="00093BCC">
            <w:pPr>
              <w:pStyle w:val="a8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公司是否評估往來對象之誠信紀錄，並於其與往來交易對象簽訂之契約中明定誠信行為條款？</w:t>
            </w:r>
          </w:p>
          <w:p w14:paraId="408E6DA8" w14:textId="6F8736CD" w:rsidR="00C17DA6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14E4D03" w14:textId="77777777" w:rsidR="00264410" w:rsidRPr="00093BCC" w:rsidRDefault="00264410" w:rsidP="00093BCC">
            <w:pPr>
              <w:pStyle w:val="a8"/>
              <w:autoSpaceDE w:val="0"/>
              <w:autoSpaceDN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311AA70" w14:textId="77777777" w:rsidR="00C17DA6" w:rsidRPr="00093BCC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7C44D73" w14:textId="77777777" w:rsidR="00C17DA6" w:rsidRPr="00093BCC" w:rsidRDefault="00C17DA6" w:rsidP="00093BCC">
            <w:pPr>
              <w:pStyle w:val="a8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公司是否設置隸屬董事會之推動企業誠信經營專責單位，並定期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至少一年一次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向董事會報告其誠信經營政策與防範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不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誠信行為方案及監督執行情形？</w:t>
            </w:r>
          </w:p>
          <w:p w14:paraId="50DC088C" w14:textId="23ED2D5B" w:rsidR="00C17DA6" w:rsidRDefault="00C17DA6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CF1B78D" w14:textId="77777777" w:rsidR="00264410" w:rsidRPr="00093BCC" w:rsidRDefault="00264410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2440BF8C" w14:textId="77777777" w:rsidR="00C17DA6" w:rsidRPr="00093BCC" w:rsidRDefault="00C17DA6" w:rsidP="00093BCC">
            <w:pPr>
              <w:pStyle w:val="a8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公司是否制定防止利益衝突政策、提供適當陳述管道，並落實執行？</w:t>
            </w:r>
          </w:p>
          <w:p w14:paraId="63012BC8" w14:textId="77777777" w:rsidR="00C17DA6" w:rsidRPr="00093BCC" w:rsidRDefault="00C17DA6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EF99443" w14:textId="77777777" w:rsidR="00C17DA6" w:rsidRPr="00093BCC" w:rsidRDefault="00C17DA6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7B9AACE" w14:textId="77777777" w:rsidR="00C17DA6" w:rsidRPr="00093BCC" w:rsidRDefault="00C17DA6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8DA59DA" w14:textId="77777777" w:rsidR="00C17DA6" w:rsidRPr="00093BCC" w:rsidRDefault="00C17DA6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6BB60929" w14:textId="77777777" w:rsidR="00C17DA6" w:rsidRPr="00093BCC" w:rsidRDefault="00C17DA6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18A6B98" w14:textId="77777777" w:rsidR="00C17DA6" w:rsidRPr="00093BCC" w:rsidRDefault="00C17DA6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64E903D" w14:textId="77777777" w:rsidR="00C17DA6" w:rsidRPr="00093BCC" w:rsidRDefault="00C17DA6" w:rsidP="00093BCC">
            <w:pPr>
              <w:pStyle w:val="a8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公司是否為落實誠信經營已建立有效的會計制度、內部控制制度，並由內部稽核單位依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不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誠信行為風險之評估結果，擬訂相關稽核計畫，並據以查核防範不誠信行為方案之遵循情形，或委託會計師執行查核？</w:t>
            </w:r>
          </w:p>
          <w:p w14:paraId="3F007530" w14:textId="72D936F8" w:rsidR="00C17DA6" w:rsidRDefault="00C17DA6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21EC11B" w14:textId="77777777" w:rsidR="00264410" w:rsidRPr="00093BCC" w:rsidRDefault="00264410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F9C8430" w14:textId="77777777" w:rsidR="00C17DA6" w:rsidRPr="00093BCC" w:rsidRDefault="00C17DA6" w:rsidP="00093BCC">
            <w:pPr>
              <w:pStyle w:val="a8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公司是否定期舉辦誠信經營之內、外部之教育訓練？</w:t>
            </w:r>
          </w:p>
        </w:tc>
        <w:tc>
          <w:tcPr>
            <w:tcW w:w="10091" w:type="dxa"/>
            <w:gridSpan w:val="2"/>
            <w:shd w:val="clear" w:color="auto" w:fill="auto"/>
          </w:tcPr>
          <w:p w14:paraId="2D11D2EE" w14:textId="77777777" w:rsidR="00C17DA6" w:rsidRPr="00093BCC" w:rsidRDefault="00C17DA6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  <w:p w14:paraId="1FD5BFEB" w14:textId="77777777" w:rsidR="00C17DA6" w:rsidRPr="00093BCC" w:rsidRDefault="00C17DA6" w:rsidP="00093BC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本公司定有「誠信經營實務守則」政策，應本於誠信經營原則，以公平與透明之方式進行商業活動。採購合約中明訂誠信行為條款，其中絕對禁止事項，包括不法行為禁止條款、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傭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金禁止條款、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流貨禁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止條款等。</w:t>
            </w:r>
          </w:p>
          <w:p w14:paraId="66304A79" w14:textId="75382690" w:rsidR="00C17DA6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 w:left="622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與廠商往來關鍵訊息，存有「會議記錄」等書面文件或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Email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；合作重要規範，除了口頭告知及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Email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通知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以外，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「採購合約書」另約定相關禁止事項或記載於備忘錄內。</w:t>
            </w:r>
          </w:p>
          <w:p w14:paraId="062C60B8" w14:textId="77777777" w:rsidR="00264410" w:rsidRPr="00093BCC" w:rsidRDefault="00264410" w:rsidP="00093BCC">
            <w:pPr>
              <w:pStyle w:val="a8"/>
              <w:autoSpaceDE w:val="0"/>
              <w:autoSpaceDN w:val="0"/>
              <w:spacing w:line="260" w:lineRule="exact"/>
              <w:ind w:leftChars="0" w:left="622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65A5F552" w14:textId="77777777" w:rsidR="00C17DA6" w:rsidRPr="00093BCC" w:rsidRDefault="00C17DA6" w:rsidP="00093BC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本公司為健全誠信經營之管理，指定「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治理暨永續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發展室」為專責單位，隸屬於董事會，負責誠信經營政策與防範方案之制定及監督執行。確認各項營運活動符合法令，該權責單位每年定期向董事會報告執行情形，最近一次日期為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111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年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11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月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10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日。推動成果如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本表各評估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項目及運作情形之摘要說明。</w:t>
            </w:r>
          </w:p>
          <w:p w14:paraId="2AC1442D" w14:textId="77777777" w:rsidR="00C17DA6" w:rsidRPr="00093BCC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2705041" w14:textId="77777777" w:rsidR="00C17DA6" w:rsidRPr="00093BCC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9C3A01C" w14:textId="77777777" w:rsidR="00C17DA6" w:rsidRPr="00093BCC" w:rsidRDefault="00C17DA6" w:rsidP="00093BC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本公司訂有「誠信經營守則」，利害關係人對於有利害關係之事務均予以迴避，不得藉其在公司擔任之職位，獲得任何不正當利益。</w:t>
            </w:r>
          </w:p>
          <w:p w14:paraId="20E22B7D" w14:textId="77777777" w:rsidR="00C17DA6" w:rsidRPr="00093BCC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 w:left="622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對董事會所列議案，其自身或其代表之法人有利害關係，致有害於公司利益之虞者，得陳述意見及答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詢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，不得加入討論及表決，且討論及表決時應予迴避，並不得代理其他董事行使其表決權。</w:t>
            </w:r>
          </w:p>
          <w:p w14:paraId="1FAB21AB" w14:textId="77777777" w:rsidR="00C17DA6" w:rsidRPr="00093BCC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 w:left="622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本公司網站設置「利害關係人專區」，提供各類利害關係人申訴管道；公司內部持續宣導誠信經營與道德行為，鼓勵同仁於發現違反法令或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不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誠信行為之情事時，請向檢舉窗口陳報。</w:t>
            </w:r>
          </w:p>
          <w:p w14:paraId="03376D00" w14:textId="401B7E9B" w:rsidR="00C17DA6" w:rsidRDefault="00C17DA6" w:rsidP="00093BCC">
            <w:pPr>
              <w:pStyle w:val="a8"/>
              <w:autoSpaceDE w:val="0"/>
              <w:autoSpaceDN w:val="0"/>
              <w:spacing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9D4C6BD" w14:textId="77777777" w:rsidR="00264410" w:rsidRPr="00093BCC" w:rsidRDefault="00264410" w:rsidP="00093BCC">
            <w:pPr>
              <w:pStyle w:val="a8"/>
              <w:autoSpaceDE w:val="0"/>
              <w:autoSpaceDN w:val="0"/>
              <w:spacing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05D3E3E" w14:textId="77777777" w:rsidR="00C17DA6" w:rsidRPr="00093BCC" w:rsidRDefault="00C17DA6" w:rsidP="00093BC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本公司之會計制度，係依主管機關規定及其他有關法令規章等訂定，並依會計事務性質、業務實際情形及發展暨管理上之需要釐訂。</w:t>
            </w:r>
          </w:p>
          <w:p w14:paraId="194F2A70" w14:textId="40E2E9C6" w:rsidR="00C17DA6" w:rsidRPr="00264410" w:rsidRDefault="00C17DA6" w:rsidP="00264410">
            <w:pPr>
              <w:pStyle w:val="a8"/>
              <w:autoSpaceDE w:val="0"/>
              <w:autoSpaceDN w:val="0"/>
              <w:spacing w:line="260" w:lineRule="exact"/>
              <w:ind w:leftChars="0" w:left="622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內部控制方面已明訂各項業務分別由各功能部門共同完成，藉此達成職能分工及勾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稽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之功能；從事交易時，並依公司內部規章及外部法規辦理，遵循作業流程，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釐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清相關權責，職務有所衝突之工作則避免相互兼任或互為代理，以防止舞弊，並輔以各單位之自行查核與稽核單位之內部查核，以達到內部控制之目的。</w:t>
            </w:r>
          </w:p>
          <w:p w14:paraId="0D1BC523" w14:textId="77777777" w:rsidR="00C17DA6" w:rsidRPr="00093BCC" w:rsidRDefault="00C17DA6" w:rsidP="00093BC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  <w:p w14:paraId="7D6676E6" w14:textId="77777777" w:rsidR="00C17DA6" w:rsidRPr="00093BCC" w:rsidRDefault="00C17DA6" w:rsidP="00093BC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每季宣導「誠信經營守則」、「道德行為準則」、「從業人員倫理道德規範宣導及舉報制度」，並提供同仁發現違反法令、倫理道德規範或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不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誠信行為時之舉報管道。將「誠信經營守則」列入新人訓練課程中，課程時數為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0.5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小時。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111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年度宣導人次約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256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人、受訓人次約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76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人。</w:t>
            </w:r>
          </w:p>
        </w:tc>
      </w:tr>
      <w:tr w:rsidR="00264410" w:rsidRPr="00093BCC" w14:paraId="69FA5C8A" w14:textId="77777777" w:rsidTr="00264410">
        <w:trPr>
          <w:trHeight w:val="2960"/>
        </w:trPr>
        <w:tc>
          <w:tcPr>
            <w:tcW w:w="5049" w:type="dxa"/>
            <w:shd w:val="clear" w:color="auto" w:fill="auto"/>
          </w:tcPr>
          <w:p w14:paraId="2B9FE56E" w14:textId="77777777" w:rsidR="00264410" w:rsidRPr="00093BCC" w:rsidRDefault="00264410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lastRenderedPageBreak/>
              <w:t>三、公司檢舉制度之運作情形</w:t>
            </w:r>
          </w:p>
          <w:p w14:paraId="3031720C" w14:textId="77777777" w:rsidR="00264410" w:rsidRPr="00093BCC" w:rsidRDefault="00264410" w:rsidP="00093BC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公司是否訂定具體檢舉及獎勵制度，並建立便利檢舉管道，及針對被檢舉對象指派適當之受理專責人員？</w:t>
            </w:r>
          </w:p>
          <w:p w14:paraId="73F0FBF7" w14:textId="77777777" w:rsidR="00264410" w:rsidRPr="00093BCC" w:rsidRDefault="00264410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EFF291D" w14:textId="77777777" w:rsidR="00264410" w:rsidRPr="00093BCC" w:rsidRDefault="00264410" w:rsidP="00093BC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公司是否訂定受理檢舉事項之調查標準作業程序、調查完成後應採取之後續措施及相關保密機制？</w:t>
            </w:r>
          </w:p>
          <w:p w14:paraId="1DD93D71" w14:textId="77777777" w:rsidR="00264410" w:rsidRPr="00093BCC" w:rsidRDefault="00264410" w:rsidP="00093BCC">
            <w:pPr>
              <w:spacing w:line="260" w:lineRule="exact"/>
              <w:ind w:left="682" w:hangingChars="310" w:hanging="682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216CDED" w14:textId="77777777" w:rsidR="00264410" w:rsidRPr="00093BCC" w:rsidRDefault="00264410" w:rsidP="00093BC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公司是否採取保護檢舉人不因檢舉而遭受不當處置之措施？</w:t>
            </w:r>
          </w:p>
        </w:tc>
        <w:tc>
          <w:tcPr>
            <w:tcW w:w="10091" w:type="dxa"/>
            <w:gridSpan w:val="2"/>
            <w:shd w:val="clear" w:color="auto" w:fill="auto"/>
          </w:tcPr>
          <w:p w14:paraId="041B5009" w14:textId="77777777" w:rsidR="00264410" w:rsidRPr="00093BCC" w:rsidRDefault="00264410" w:rsidP="00093BCC">
            <w:pPr>
              <w:spacing w:line="260" w:lineRule="exact"/>
              <w:ind w:left="39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26DA29EF" w14:textId="77777777" w:rsidR="00264410" w:rsidRPr="00093BCC" w:rsidRDefault="00264410" w:rsidP="00093BC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訂定「工作規則」、「從業人員倫理道德規範宣導及舉報制度」、「誠信經營守則」及利害關係人之相關管理作業，並設有檢舉申訴窗口專責處理員工建言及申訴。如有違反誠信經營之人員，依規定予以懲處；同時亦訂有員工呈報獎勵制度。</w:t>
            </w:r>
          </w:p>
          <w:p w14:paraId="1A87864D" w14:textId="77777777" w:rsidR="00264410" w:rsidRPr="00093BCC" w:rsidRDefault="00264410" w:rsidP="00093BCC">
            <w:pPr>
              <w:pStyle w:val="a8"/>
              <w:autoSpaceDE w:val="0"/>
              <w:autoSpaceDN w:val="0"/>
              <w:spacing w:line="260" w:lineRule="exact"/>
              <w:ind w:leftChars="0" w:left="469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C37EE98" w14:textId="77777777" w:rsidR="00264410" w:rsidRPr="00093BCC" w:rsidRDefault="00264410" w:rsidP="00093BC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本公司網站已公告「從業人員倫理道德規範宣導及舉報制度」，包含受理檢舉事項之申訴流程及相關保密機制。</w:t>
            </w:r>
          </w:p>
          <w:p w14:paraId="68C92704" w14:textId="77777777" w:rsidR="00264410" w:rsidRPr="00093BCC" w:rsidRDefault="00264410" w:rsidP="00093BCC">
            <w:pPr>
              <w:pStyle w:val="a8"/>
              <w:autoSpaceDE w:val="0"/>
              <w:autoSpaceDN w:val="0"/>
              <w:spacing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184D55D" w14:textId="77777777" w:rsidR="00264410" w:rsidRPr="00093BCC" w:rsidRDefault="00264410" w:rsidP="00093BCC">
            <w:pPr>
              <w:pStyle w:val="a8"/>
              <w:autoSpaceDE w:val="0"/>
              <w:autoSpaceDN w:val="0"/>
              <w:spacing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6FFA2214" w14:textId="77777777" w:rsidR="00264410" w:rsidRPr="00093BCC" w:rsidRDefault="00264410" w:rsidP="00093BC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本公司網站已公告「從業人員倫理道德規範宣導及舉報制度」，對檢舉人予以保密及保護，以避免遭受不當處置。</w:t>
            </w:r>
          </w:p>
        </w:tc>
      </w:tr>
      <w:tr w:rsidR="00264410" w:rsidRPr="00093BCC" w14:paraId="7AD703C2" w14:textId="77777777" w:rsidTr="00264410">
        <w:tc>
          <w:tcPr>
            <w:tcW w:w="5049" w:type="dxa"/>
            <w:shd w:val="clear" w:color="auto" w:fill="auto"/>
          </w:tcPr>
          <w:p w14:paraId="44BCFCF7" w14:textId="77777777" w:rsidR="00264410" w:rsidRPr="00093BCC" w:rsidRDefault="00264410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四、加強資訊揭露</w:t>
            </w:r>
          </w:p>
          <w:p w14:paraId="2141599D" w14:textId="77777777" w:rsidR="00264410" w:rsidRPr="00093BCC" w:rsidRDefault="00264410" w:rsidP="00093BCC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0" w:lineRule="exact"/>
              <w:ind w:leftChars="15" w:left="476" w:hangingChars="200" w:hanging="44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公司是否於其網站及公開資訊觀測站，揭露其所定誠信經營守則內容及推動成效？</w:t>
            </w:r>
          </w:p>
        </w:tc>
        <w:tc>
          <w:tcPr>
            <w:tcW w:w="10091" w:type="dxa"/>
            <w:gridSpan w:val="2"/>
            <w:shd w:val="clear" w:color="auto" w:fill="auto"/>
          </w:tcPr>
          <w:p w14:paraId="46983E19" w14:textId="77777777" w:rsidR="00264410" w:rsidRPr="00093BCC" w:rsidRDefault="00264410" w:rsidP="00093BCC">
            <w:pPr>
              <w:spacing w:line="260" w:lineRule="exact"/>
              <w:ind w:left="39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993169A" w14:textId="77777777" w:rsidR="00264410" w:rsidRPr="00093BCC" w:rsidRDefault="00264410" w:rsidP="00093BC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本公司已於網站及公開資訊觀測站揭露「誠信經營守則」，並於年報、公司網站揭露推動成效。</w:t>
            </w:r>
          </w:p>
        </w:tc>
      </w:tr>
      <w:tr w:rsidR="00093BCC" w:rsidRPr="00093BCC" w14:paraId="10145BB5" w14:textId="77777777" w:rsidTr="00264410">
        <w:trPr>
          <w:gridAfter w:val="1"/>
          <w:wAfter w:w="6" w:type="dxa"/>
          <w:trHeight w:val="477"/>
        </w:trPr>
        <w:tc>
          <w:tcPr>
            <w:tcW w:w="15134" w:type="dxa"/>
            <w:gridSpan w:val="2"/>
            <w:shd w:val="clear" w:color="auto" w:fill="auto"/>
            <w:vAlign w:val="center"/>
          </w:tcPr>
          <w:p w14:paraId="032DD36B" w14:textId="77777777" w:rsidR="00093BCC" w:rsidRPr="00093BCC" w:rsidRDefault="00093BCC" w:rsidP="00264410">
            <w:pPr>
              <w:spacing w:line="260" w:lineRule="exact"/>
              <w:ind w:left="425" w:hangingChars="193" w:hanging="425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五、公司如依據「上市上櫃公司誠信經營守則」定有本身之誠信經營守則者，</w:t>
            </w:r>
            <w:proofErr w:type="gramStart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請敘明</w:t>
            </w:r>
            <w:proofErr w:type="gramEnd"/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其運作與所定守則之差異情形：無重大差異。</w:t>
            </w:r>
          </w:p>
        </w:tc>
      </w:tr>
      <w:tr w:rsidR="00093BCC" w:rsidRPr="00093BCC" w14:paraId="3542CCE9" w14:textId="77777777" w:rsidTr="00264410">
        <w:trPr>
          <w:gridAfter w:val="1"/>
          <w:wAfter w:w="6" w:type="dxa"/>
          <w:trHeight w:val="1972"/>
        </w:trPr>
        <w:tc>
          <w:tcPr>
            <w:tcW w:w="15134" w:type="dxa"/>
            <w:gridSpan w:val="2"/>
            <w:shd w:val="clear" w:color="auto" w:fill="auto"/>
          </w:tcPr>
          <w:p w14:paraId="780EEC32" w14:textId="77777777" w:rsidR="00093BCC" w:rsidRPr="00093BCC" w:rsidRDefault="00093BCC" w:rsidP="00093BCC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六、其他有助於瞭解公司誠信經營運作情形之重要資訊：</w:t>
            </w:r>
          </w:p>
          <w:p w14:paraId="6F8828E8" w14:textId="5E822D0A" w:rsidR="00093BCC" w:rsidRDefault="00093BCC" w:rsidP="005229F2">
            <w:pPr>
              <w:spacing w:line="260" w:lineRule="exact"/>
              <w:ind w:left="448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="005229F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</w:t>
            </w:r>
            <w:r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本公司重視誠信經營，與他人簽訂契約，內容包含遵守誠信經營政策。</w:t>
            </w:r>
          </w:p>
          <w:p w14:paraId="5596381A" w14:textId="0DA72435" w:rsidR="00093BCC" w:rsidRDefault="00A515E6" w:rsidP="00A515E6">
            <w:pPr>
              <w:spacing w:line="260" w:lineRule="exact"/>
              <w:ind w:left="448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</w:t>
            </w:r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商業往來之代理商、供應商、客戶或其他交易對象除考量其合法性外，亦關注其是否有</w:t>
            </w:r>
            <w:proofErr w:type="gramStart"/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不</w:t>
            </w:r>
            <w:proofErr w:type="gramEnd"/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誠信行為紀錄，進一步敦促商業往來廠商重視誠信經營。</w:t>
            </w:r>
          </w:p>
          <w:p w14:paraId="7EF325F7" w14:textId="1F13187D" w:rsidR="00093BCC" w:rsidRDefault="00A515E6" w:rsidP="00A515E6">
            <w:pPr>
              <w:spacing w:line="260" w:lineRule="exact"/>
              <w:ind w:leftChars="186" w:left="765" w:hangingChars="145" w:hanging="319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</w:t>
            </w:r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本公司重視誠信經營，包含員工應遵守公司道德規範與業務準則，不違法，</w:t>
            </w:r>
            <w:proofErr w:type="gramStart"/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不</w:t>
            </w:r>
            <w:proofErr w:type="gramEnd"/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偏私、善盡職責，保護顧客隱私、真實告知客戶權益，絕不欺騙隱瞞等內容，以定期考核員工對誠信之遵守情形。</w:t>
            </w:r>
          </w:p>
          <w:p w14:paraId="510483D8" w14:textId="508B3A98" w:rsidR="00093BCC" w:rsidRPr="00093BCC" w:rsidRDefault="00A515E6" w:rsidP="00A515E6">
            <w:pPr>
              <w:spacing w:line="260" w:lineRule="exact"/>
              <w:ind w:leftChars="186" w:left="765" w:hangingChars="145" w:hanging="319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</w:t>
            </w:r>
            <w:r w:rsidR="00093BCC" w:rsidRPr="00093BCC">
              <w:rPr>
                <w:rFonts w:ascii="Times New Roman" w:eastAsia="標楷體" w:hAnsi="Times New Roman" w:cs="Times New Roman"/>
                <w:color w:val="000000"/>
                <w:sz w:val="22"/>
              </w:rPr>
              <w:t>本公司定期安排董事、經理人參與公司治理課程，增益其監督及治理公司之能力，以提昇公司治理成效及誠信經營之落實。</w:t>
            </w:r>
          </w:p>
        </w:tc>
      </w:tr>
    </w:tbl>
    <w:p w14:paraId="15554E31" w14:textId="77777777" w:rsidR="00093BCC" w:rsidRPr="00093BCC" w:rsidRDefault="00093BCC" w:rsidP="00E93018">
      <w:pPr>
        <w:rPr>
          <w:rFonts w:ascii="Times New Roman" w:eastAsia="標楷體" w:hAnsi="Times New Roman" w:cs="Times New Roman"/>
          <w:b/>
          <w:szCs w:val="24"/>
        </w:rPr>
      </w:pPr>
    </w:p>
    <w:sectPr w:rsidR="00093BCC" w:rsidRPr="00093BCC" w:rsidSect="00900760">
      <w:footerReference w:type="default" r:id="rId7"/>
      <w:pgSz w:w="16838" w:h="11906" w:orient="landscape"/>
      <w:pgMar w:top="851" w:right="851" w:bottom="849" w:left="851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CEC4" w14:textId="77777777" w:rsidR="00561261" w:rsidRDefault="00561261" w:rsidP="00227998">
      <w:r>
        <w:separator/>
      </w:r>
    </w:p>
  </w:endnote>
  <w:endnote w:type="continuationSeparator" w:id="0">
    <w:p w14:paraId="533549F7" w14:textId="77777777" w:rsidR="00561261" w:rsidRDefault="00561261" w:rsidP="0022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291031"/>
      <w:docPartObj>
        <w:docPartGallery w:val="Page Numbers (Bottom of Page)"/>
        <w:docPartUnique/>
      </w:docPartObj>
    </w:sdtPr>
    <w:sdtEndPr/>
    <w:sdtContent>
      <w:p w14:paraId="08F6B462" w14:textId="7EFE2868" w:rsidR="005E6CB2" w:rsidRDefault="005E6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42E589" w14:textId="77777777" w:rsidR="005E6CB2" w:rsidRDefault="005E6C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7840" w14:textId="77777777" w:rsidR="00561261" w:rsidRDefault="00561261" w:rsidP="00227998">
      <w:r>
        <w:separator/>
      </w:r>
    </w:p>
  </w:footnote>
  <w:footnote w:type="continuationSeparator" w:id="0">
    <w:p w14:paraId="27364196" w14:textId="77777777" w:rsidR="00561261" w:rsidRDefault="00561261" w:rsidP="0022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387C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1B7AE4"/>
    <w:multiLevelType w:val="hybridMultilevel"/>
    <w:tmpl w:val="D2443BF0"/>
    <w:lvl w:ilvl="0" w:tplc="2AFC85B4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" w15:restartNumberingAfterBreak="0">
    <w:nsid w:val="0AD42449"/>
    <w:multiLevelType w:val="hybridMultilevel"/>
    <w:tmpl w:val="E81E5812"/>
    <w:lvl w:ilvl="0" w:tplc="D12ADAD6">
      <w:start w:val="1"/>
      <w:numFmt w:val="taiwaneseCountingThousand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7D610C"/>
    <w:multiLevelType w:val="hybridMultilevel"/>
    <w:tmpl w:val="90DE4238"/>
    <w:lvl w:ilvl="0" w:tplc="F1C4940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F1096"/>
    <w:multiLevelType w:val="hybridMultilevel"/>
    <w:tmpl w:val="1194C966"/>
    <w:lvl w:ilvl="0" w:tplc="08D4F57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2AD3A46"/>
    <w:multiLevelType w:val="hybridMultilevel"/>
    <w:tmpl w:val="C0761C68"/>
    <w:lvl w:ilvl="0" w:tplc="85EACCBE">
      <w:start w:val="1"/>
      <w:numFmt w:val="decimal"/>
      <w:lvlText w:val="%1、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6" w15:restartNumberingAfterBreak="0">
    <w:nsid w:val="19824032"/>
    <w:multiLevelType w:val="hybridMultilevel"/>
    <w:tmpl w:val="15F85144"/>
    <w:lvl w:ilvl="0" w:tplc="2710F130">
      <w:start w:val="1"/>
      <w:numFmt w:val="taiwaneseCountingThousand"/>
      <w:lvlText w:val="(%1)"/>
      <w:lvlJc w:val="left"/>
      <w:pPr>
        <w:ind w:left="855" w:hanging="480"/>
      </w:pPr>
      <w:rPr>
        <w:rFonts w:ascii="標楷體" w:eastAsia="標楷體" w:hAnsi="標楷體" w:cs="Times New Roman" w:hint="default"/>
      </w:rPr>
    </w:lvl>
    <w:lvl w:ilvl="1" w:tplc="F29C0D72">
      <w:start w:val="2"/>
      <w:numFmt w:val="decimal"/>
      <w:lvlText w:val="%2、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73760"/>
    <w:multiLevelType w:val="hybridMultilevel"/>
    <w:tmpl w:val="27380068"/>
    <w:lvl w:ilvl="0" w:tplc="1F3A737E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6842F8"/>
    <w:multiLevelType w:val="hybridMultilevel"/>
    <w:tmpl w:val="227A1F40"/>
    <w:lvl w:ilvl="0" w:tplc="EB6E95C4">
      <w:start w:val="1"/>
      <w:numFmt w:val="decimal"/>
      <w:lvlText w:val="%1、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9" w15:restartNumberingAfterBreak="0">
    <w:nsid w:val="23983CE7"/>
    <w:multiLevelType w:val="hybridMultilevel"/>
    <w:tmpl w:val="3AC882B6"/>
    <w:lvl w:ilvl="0" w:tplc="EC6A4458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9C28DF"/>
    <w:multiLevelType w:val="hybridMultilevel"/>
    <w:tmpl w:val="4A9EF8A2"/>
    <w:lvl w:ilvl="0" w:tplc="70FE2A68">
      <w:start w:val="1"/>
      <w:numFmt w:val="decimal"/>
      <w:lvlText w:val="%1、"/>
      <w:lvlJc w:val="left"/>
      <w:pPr>
        <w:ind w:left="367" w:hanging="360"/>
      </w:pPr>
      <w:rPr>
        <w:rFonts w:hint="default"/>
      </w:rPr>
    </w:lvl>
    <w:lvl w:ilvl="1" w:tplc="07384DF4">
      <w:start w:val="1"/>
      <w:numFmt w:val="decimal"/>
      <w:lvlText w:val="(%2)"/>
      <w:lvlJc w:val="left"/>
      <w:pPr>
        <w:ind w:left="8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1" w15:restartNumberingAfterBreak="0">
    <w:nsid w:val="2E925493"/>
    <w:multiLevelType w:val="hybridMultilevel"/>
    <w:tmpl w:val="1494B5B2"/>
    <w:lvl w:ilvl="0" w:tplc="2710F130">
      <w:start w:val="1"/>
      <w:numFmt w:val="taiwaneseCountingThousand"/>
      <w:lvlText w:val="(%1)"/>
      <w:lvlJc w:val="left"/>
      <w:pPr>
        <w:ind w:left="855" w:hanging="480"/>
      </w:pPr>
      <w:rPr>
        <w:rFonts w:ascii="標楷體" w:eastAsia="標楷體" w:hAnsi="標楷體" w:cs="Times New Roman" w:hint="default"/>
      </w:rPr>
    </w:lvl>
    <w:lvl w:ilvl="1" w:tplc="057A5192">
      <w:start w:val="1"/>
      <w:numFmt w:val="decimal"/>
      <w:lvlText w:val="%2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0324E"/>
    <w:multiLevelType w:val="hybridMultilevel"/>
    <w:tmpl w:val="2EBEA02C"/>
    <w:lvl w:ilvl="0" w:tplc="FF284D6A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3B0C90"/>
    <w:multiLevelType w:val="hybridMultilevel"/>
    <w:tmpl w:val="3FBEB308"/>
    <w:lvl w:ilvl="0" w:tplc="5CC8FC3E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F4278"/>
    <w:multiLevelType w:val="hybridMultilevel"/>
    <w:tmpl w:val="4E3A956A"/>
    <w:lvl w:ilvl="0" w:tplc="8B32A110">
      <w:start w:val="1"/>
      <w:numFmt w:val="decimal"/>
      <w:lvlText w:val="%1、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5" w15:restartNumberingAfterBreak="0">
    <w:nsid w:val="48D25FC0"/>
    <w:multiLevelType w:val="hybridMultilevel"/>
    <w:tmpl w:val="278EB82E"/>
    <w:lvl w:ilvl="0" w:tplc="3C26F506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0B2C17"/>
    <w:multiLevelType w:val="hybridMultilevel"/>
    <w:tmpl w:val="3CD41B5E"/>
    <w:lvl w:ilvl="0" w:tplc="14A69DA8">
      <w:start w:val="1"/>
      <w:numFmt w:val="taiwaneseCountingThousand"/>
      <w:lvlText w:val="(%1)"/>
      <w:lvlJc w:val="left"/>
      <w:pPr>
        <w:ind w:left="85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902561"/>
    <w:multiLevelType w:val="hybridMultilevel"/>
    <w:tmpl w:val="775EC96A"/>
    <w:lvl w:ilvl="0" w:tplc="0290B5C0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color w:val="000000"/>
        <w:sz w:val="1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141544"/>
    <w:multiLevelType w:val="hybridMultilevel"/>
    <w:tmpl w:val="D4EC1C88"/>
    <w:lvl w:ilvl="0" w:tplc="10A0181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A3A65"/>
    <w:multiLevelType w:val="hybridMultilevel"/>
    <w:tmpl w:val="4A9EF8A2"/>
    <w:lvl w:ilvl="0" w:tplc="70FE2A68">
      <w:start w:val="1"/>
      <w:numFmt w:val="decimal"/>
      <w:lvlText w:val="%1、"/>
      <w:lvlJc w:val="left"/>
      <w:pPr>
        <w:ind w:left="367" w:hanging="360"/>
      </w:pPr>
      <w:rPr>
        <w:rFonts w:hint="default"/>
      </w:rPr>
    </w:lvl>
    <w:lvl w:ilvl="1" w:tplc="07384DF4">
      <w:start w:val="1"/>
      <w:numFmt w:val="decimal"/>
      <w:lvlText w:val="(%2)"/>
      <w:lvlJc w:val="left"/>
      <w:pPr>
        <w:ind w:left="8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0" w15:restartNumberingAfterBreak="0">
    <w:nsid w:val="744C4D47"/>
    <w:multiLevelType w:val="hybridMultilevel"/>
    <w:tmpl w:val="B432646C"/>
    <w:lvl w:ilvl="0" w:tplc="97FE8C68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cs="Times New Roman" w:hint="default"/>
      </w:rPr>
    </w:lvl>
    <w:lvl w:ilvl="1" w:tplc="43EAE3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E63B62"/>
    <w:multiLevelType w:val="hybridMultilevel"/>
    <w:tmpl w:val="AF76C03A"/>
    <w:lvl w:ilvl="0" w:tplc="B8341E98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E211A4"/>
    <w:multiLevelType w:val="hybridMultilevel"/>
    <w:tmpl w:val="D422D8E8"/>
    <w:lvl w:ilvl="0" w:tplc="3DEE1CB0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34DA1"/>
    <w:multiLevelType w:val="hybridMultilevel"/>
    <w:tmpl w:val="BC9C23EE"/>
    <w:lvl w:ilvl="0" w:tplc="2B826338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17"/>
  </w:num>
  <w:num w:numId="9">
    <w:abstractNumId w:val="14"/>
  </w:num>
  <w:num w:numId="10">
    <w:abstractNumId w:val="5"/>
  </w:num>
  <w:num w:numId="11">
    <w:abstractNumId w:val="4"/>
  </w:num>
  <w:num w:numId="12">
    <w:abstractNumId w:val="8"/>
  </w:num>
  <w:num w:numId="13">
    <w:abstractNumId w:val="19"/>
  </w:num>
  <w:num w:numId="14">
    <w:abstractNumId w:val="18"/>
  </w:num>
  <w:num w:numId="15">
    <w:abstractNumId w:val="2"/>
  </w:num>
  <w:num w:numId="16">
    <w:abstractNumId w:val="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23"/>
  </w:num>
  <w:num w:numId="22">
    <w:abstractNumId w:val="15"/>
  </w:num>
  <w:num w:numId="23">
    <w:abstractNumId w:val="20"/>
  </w:num>
  <w:num w:numId="2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8"/>
    <w:rsid w:val="00027FCA"/>
    <w:rsid w:val="00034028"/>
    <w:rsid w:val="000377E3"/>
    <w:rsid w:val="00040559"/>
    <w:rsid w:val="00080A82"/>
    <w:rsid w:val="00085408"/>
    <w:rsid w:val="00093BCC"/>
    <w:rsid w:val="000A10F4"/>
    <w:rsid w:val="000B6213"/>
    <w:rsid w:val="000D4C66"/>
    <w:rsid w:val="000E39FF"/>
    <w:rsid w:val="000F33F9"/>
    <w:rsid w:val="000F4155"/>
    <w:rsid w:val="0014363C"/>
    <w:rsid w:val="00152AD5"/>
    <w:rsid w:val="00154DE1"/>
    <w:rsid w:val="001611D3"/>
    <w:rsid w:val="0016639E"/>
    <w:rsid w:val="00166508"/>
    <w:rsid w:val="00177A2C"/>
    <w:rsid w:val="00183C02"/>
    <w:rsid w:val="001844F1"/>
    <w:rsid w:val="00191A23"/>
    <w:rsid w:val="001A22A0"/>
    <w:rsid w:val="001A2C3B"/>
    <w:rsid w:val="001A40BD"/>
    <w:rsid w:val="001B5958"/>
    <w:rsid w:val="001F20BF"/>
    <w:rsid w:val="001F5521"/>
    <w:rsid w:val="001F7C43"/>
    <w:rsid w:val="00206DA6"/>
    <w:rsid w:val="00220168"/>
    <w:rsid w:val="00227998"/>
    <w:rsid w:val="00232303"/>
    <w:rsid w:val="00241A1D"/>
    <w:rsid w:val="00264410"/>
    <w:rsid w:val="00282DE3"/>
    <w:rsid w:val="00291BF3"/>
    <w:rsid w:val="002A26CF"/>
    <w:rsid w:val="002B0C33"/>
    <w:rsid w:val="002C4BF9"/>
    <w:rsid w:val="002D1A43"/>
    <w:rsid w:val="002F3F9D"/>
    <w:rsid w:val="00314247"/>
    <w:rsid w:val="00323C03"/>
    <w:rsid w:val="00332710"/>
    <w:rsid w:val="003501C0"/>
    <w:rsid w:val="003600EF"/>
    <w:rsid w:val="00383F35"/>
    <w:rsid w:val="003904F9"/>
    <w:rsid w:val="0039470D"/>
    <w:rsid w:val="003A3045"/>
    <w:rsid w:val="003A594B"/>
    <w:rsid w:val="003A679E"/>
    <w:rsid w:val="003A7DEC"/>
    <w:rsid w:val="003C39F8"/>
    <w:rsid w:val="003D22C1"/>
    <w:rsid w:val="003D6C3E"/>
    <w:rsid w:val="003F4597"/>
    <w:rsid w:val="00400666"/>
    <w:rsid w:val="0040793F"/>
    <w:rsid w:val="004130E6"/>
    <w:rsid w:val="00430309"/>
    <w:rsid w:val="00443306"/>
    <w:rsid w:val="00445C6A"/>
    <w:rsid w:val="00466F05"/>
    <w:rsid w:val="00475B65"/>
    <w:rsid w:val="0049574A"/>
    <w:rsid w:val="0049666B"/>
    <w:rsid w:val="004B09EA"/>
    <w:rsid w:val="004B0FD1"/>
    <w:rsid w:val="004C1212"/>
    <w:rsid w:val="004C28C3"/>
    <w:rsid w:val="004C6155"/>
    <w:rsid w:val="004E5626"/>
    <w:rsid w:val="0050566F"/>
    <w:rsid w:val="005121A3"/>
    <w:rsid w:val="005163F1"/>
    <w:rsid w:val="005212CD"/>
    <w:rsid w:val="005229F2"/>
    <w:rsid w:val="005252E0"/>
    <w:rsid w:val="00526D6C"/>
    <w:rsid w:val="005339F0"/>
    <w:rsid w:val="005438FE"/>
    <w:rsid w:val="00557F3E"/>
    <w:rsid w:val="00561261"/>
    <w:rsid w:val="005659D8"/>
    <w:rsid w:val="005758DB"/>
    <w:rsid w:val="005808E3"/>
    <w:rsid w:val="00580D6C"/>
    <w:rsid w:val="00591DAD"/>
    <w:rsid w:val="005A756D"/>
    <w:rsid w:val="005C06D9"/>
    <w:rsid w:val="005C7605"/>
    <w:rsid w:val="005D4AAE"/>
    <w:rsid w:val="005D540F"/>
    <w:rsid w:val="005D5AF6"/>
    <w:rsid w:val="005E3E93"/>
    <w:rsid w:val="005E65CF"/>
    <w:rsid w:val="005E6CB2"/>
    <w:rsid w:val="005E76AD"/>
    <w:rsid w:val="005F7C79"/>
    <w:rsid w:val="0060285F"/>
    <w:rsid w:val="00607C26"/>
    <w:rsid w:val="00614558"/>
    <w:rsid w:val="0062246F"/>
    <w:rsid w:val="00667F4B"/>
    <w:rsid w:val="006748AA"/>
    <w:rsid w:val="006841C1"/>
    <w:rsid w:val="006A3BDE"/>
    <w:rsid w:val="006B483A"/>
    <w:rsid w:val="006D6204"/>
    <w:rsid w:val="006E754B"/>
    <w:rsid w:val="006F45C3"/>
    <w:rsid w:val="00712870"/>
    <w:rsid w:val="00724E87"/>
    <w:rsid w:val="0072742E"/>
    <w:rsid w:val="00735684"/>
    <w:rsid w:val="00751829"/>
    <w:rsid w:val="00795331"/>
    <w:rsid w:val="007B4381"/>
    <w:rsid w:val="007B759D"/>
    <w:rsid w:val="007D0989"/>
    <w:rsid w:val="007E0F0C"/>
    <w:rsid w:val="007F032E"/>
    <w:rsid w:val="00800833"/>
    <w:rsid w:val="00801A0E"/>
    <w:rsid w:val="00823059"/>
    <w:rsid w:val="00824AEB"/>
    <w:rsid w:val="00824FC3"/>
    <w:rsid w:val="00826A58"/>
    <w:rsid w:val="00831910"/>
    <w:rsid w:val="00844927"/>
    <w:rsid w:val="0085059F"/>
    <w:rsid w:val="00863EBD"/>
    <w:rsid w:val="008661D7"/>
    <w:rsid w:val="008779B9"/>
    <w:rsid w:val="00880146"/>
    <w:rsid w:val="008909AC"/>
    <w:rsid w:val="00891236"/>
    <w:rsid w:val="008921E1"/>
    <w:rsid w:val="00896EC3"/>
    <w:rsid w:val="00897399"/>
    <w:rsid w:val="008A153A"/>
    <w:rsid w:val="008B50A4"/>
    <w:rsid w:val="008B6DD8"/>
    <w:rsid w:val="008D65BB"/>
    <w:rsid w:val="008E5B6F"/>
    <w:rsid w:val="00900760"/>
    <w:rsid w:val="00906278"/>
    <w:rsid w:val="00912CB0"/>
    <w:rsid w:val="00917005"/>
    <w:rsid w:val="009204E1"/>
    <w:rsid w:val="009276FA"/>
    <w:rsid w:val="009412DF"/>
    <w:rsid w:val="009513D5"/>
    <w:rsid w:val="00954550"/>
    <w:rsid w:val="00961BB4"/>
    <w:rsid w:val="00962CA5"/>
    <w:rsid w:val="0096754E"/>
    <w:rsid w:val="009718BA"/>
    <w:rsid w:val="00973216"/>
    <w:rsid w:val="00977D3E"/>
    <w:rsid w:val="009811D8"/>
    <w:rsid w:val="00983DF8"/>
    <w:rsid w:val="00992860"/>
    <w:rsid w:val="0099663E"/>
    <w:rsid w:val="009D04E8"/>
    <w:rsid w:val="009D533A"/>
    <w:rsid w:val="009D7DDD"/>
    <w:rsid w:val="009E566C"/>
    <w:rsid w:val="009E7C29"/>
    <w:rsid w:val="009F649D"/>
    <w:rsid w:val="009F7AFE"/>
    <w:rsid w:val="00A004C0"/>
    <w:rsid w:val="00A01908"/>
    <w:rsid w:val="00A113CA"/>
    <w:rsid w:val="00A35BEF"/>
    <w:rsid w:val="00A515E6"/>
    <w:rsid w:val="00A563CB"/>
    <w:rsid w:val="00A642F5"/>
    <w:rsid w:val="00A723A5"/>
    <w:rsid w:val="00A75E27"/>
    <w:rsid w:val="00A83B23"/>
    <w:rsid w:val="00A865E5"/>
    <w:rsid w:val="00A866DF"/>
    <w:rsid w:val="00A87335"/>
    <w:rsid w:val="00A97091"/>
    <w:rsid w:val="00AA1349"/>
    <w:rsid w:val="00AB4BCA"/>
    <w:rsid w:val="00AC723D"/>
    <w:rsid w:val="00AE16DE"/>
    <w:rsid w:val="00AF610C"/>
    <w:rsid w:val="00AF7DBE"/>
    <w:rsid w:val="00B01CC5"/>
    <w:rsid w:val="00B025BD"/>
    <w:rsid w:val="00B05A86"/>
    <w:rsid w:val="00B077F7"/>
    <w:rsid w:val="00B1130D"/>
    <w:rsid w:val="00B315E3"/>
    <w:rsid w:val="00B34D2F"/>
    <w:rsid w:val="00B379DE"/>
    <w:rsid w:val="00B4151D"/>
    <w:rsid w:val="00B41DC5"/>
    <w:rsid w:val="00B45F76"/>
    <w:rsid w:val="00B5499D"/>
    <w:rsid w:val="00B620D8"/>
    <w:rsid w:val="00B91269"/>
    <w:rsid w:val="00B92112"/>
    <w:rsid w:val="00B96813"/>
    <w:rsid w:val="00B97100"/>
    <w:rsid w:val="00BB5550"/>
    <w:rsid w:val="00BD0ECB"/>
    <w:rsid w:val="00BD6B69"/>
    <w:rsid w:val="00BE079D"/>
    <w:rsid w:val="00C01E74"/>
    <w:rsid w:val="00C06A7E"/>
    <w:rsid w:val="00C06BB8"/>
    <w:rsid w:val="00C15FC0"/>
    <w:rsid w:val="00C17DA6"/>
    <w:rsid w:val="00C27171"/>
    <w:rsid w:val="00C31E99"/>
    <w:rsid w:val="00C522A7"/>
    <w:rsid w:val="00C6298D"/>
    <w:rsid w:val="00C630D5"/>
    <w:rsid w:val="00C876AC"/>
    <w:rsid w:val="00C9081C"/>
    <w:rsid w:val="00C96013"/>
    <w:rsid w:val="00CA209D"/>
    <w:rsid w:val="00CB17CB"/>
    <w:rsid w:val="00CB2B64"/>
    <w:rsid w:val="00CB3F11"/>
    <w:rsid w:val="00CB5AAC"/>
    <w:rsid w:val="00CC2968"/>
    <w:rsid w:val="00CC30F3"/>
    <w:rsid w:val="00CD16EF"/>
    <w:rsid w:val="00CD265F"/>
    <w:rsid w:val="00CF71CD"/>
    <w:rsid w:val="00D10BAC"/>
    <w:rsid w:val="00D21EFA"/>
    <w:rsid w:val="00D276AA"/>
    <w:rsid w:val="00D3386E"/>
    <w:rsid w:val="00D40ACC"/>
    <w:rsid w:val="00D4442C"/>
    <w:rsid w:val="00D625CE"/>
    <w:rsid w:val="00D94037"/>
    <w:rsid w:val="00DA4468"/>
    <w:rsid w:val="00DB3E08"/>
    <w:rsid w:val="00DC07E0"/>
    <w:rsid w:val="00DD4C85"/>
    <w:rsid w:val="00DE6F77"/>
    <w:rsid w:val="00E237A5"/>
    <w:rsid w:val="00E56A31"/>
    <w:rsid w:val="00E80195"/>
    <w:rsid w:val="00E809BD"/>
    <w:rsid w:val="00E87D43"/>
    <w:rsid w:val="00E907DA"/>
    <w:rsid w:val="00E92664"/>
    <w:rsid w:val="00E93018"/>
    <w:rsid w:val="00E93D18"/>
    <w:rsid w:val="00EA5994"/>
    <w:rsid w:val="00EA779C"/>
    <w:rsid w:val="00EB0FBB"/>
    <w:rsid w:val="00EB4EA9"/>
    <w:rsid w:val="00EC513D"/>
    <w:rsid w:val="00EC552D"/>
    <w:rsid w:val="00ED3689"/>
    <w:rsid w:val="00F07916"/>
    <w:rsid w:val="00F13721"/>
    <w:rsid w:val="00F169BB"/>
    <w:rsid w:val="00F26B9E"/>
    <w:rsid w:val="00F36471"/>
    <w:rsid w:val="00F516AC"/>
    <w:rsid w:val="00F516BC"/>
    <w:rsid w:val="00F57E27"/>
    <w:rsid w:val="00F61E8D"/>
    <w:rsid w:val="00F678E3"/>
    <w:rsid w:val="00F72CE0"/>
    <w:rsid w:val="00F83414"/>
    <w:rsid w:val="00FA0DB8"/>
    <w:rsid w:val="00FE6274"/>
    <w:rsid w:val="00FE6DEC"/>
    <w:rsid w:val="00FE7108"/>
    <w:rsid w:val="00FF3243"/>
    <w:rsid w:val="00FF34A7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1A164"/>
  <w15:chartTrackingRefBased/>
  <w15:docId w15:val="{96488868-BA6C-4396-9056-F62514D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EA59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27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2799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27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27998"/>
    <w:rPr>
      <w:sz w:val="20"/>
      <w:szCs w:val="20"/>
    </w:rPr>
  </w:style>
  <w:style w:type="paragraph" w:styleId="a">
    <w:name w:val="List Bullet"/>
    <w:basedOn w:val="a0"/>
    <w:uiPriority w:val="99"/>
    <w:unhideWhenUsed/>
    <w:rsid w:val="00227998"/>
    <w:pPr>
      <w:numPr>
        <w:numId w:val="1"/>
      </w:numPr>
      <w:contextualSpacing/>
    </w:pPr>
  </w:style>
  <w:style w:type="paragraph" w:styleId="a8">
    <w:name w:val="List Paragraph"/>
    <w:basedOn w:val="a0"/>
    <w:uiPriority w:val="34"/>
    <w:qFormat/>
    <w:rsid w:val="00F169BB"/>
    <w:pPr>
      <w:ind w:leftChars="200" w:left="480"/>
    </w:pPr>
  </w:style>
  <w:style w:type="table" w:styleId="a9">
    <w:name w:val="Table Grid"/>
    <w:basedOn w:val="a2"/>
    <w:uiPriority w:val="59"/>
    <w:rsid w:val="00B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EA599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a">
    <w:name w:val="Balloon Text"/>
    <w:basedOn w:val="a0"/>
    <w:link w:val="ab"/>
    <w:uiPriority w:val="99"/>
    <w:semiHidden/>
    <w:unhideWhenUsed/>
    <w:rsid w:val="00B5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5499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8B6DD8"/>
    <w:rPr>
      <w:color w:val="0000FF"/>
      <w:u w:val="single"/>
    </w:rPr>
  </w:style>
  <w:style w:type="paragraph" w:styleId="ad">
    <w:name w:val="annotation text"/>
    <w:basedOn w:val="a0"/>
    <w:link w:val="ae"/>
    <w:rsid w:val="00EB0FBB"/>
    <w:rPr>
      <w:rFonts w:ascii="Times New Roman" w:eastAsia="新細明體" w:hAnsi="Times New Roman" w:cs="Times New Roman"/>
      <w:szCs w:val="20"/>
    </w:rPr>
  </w:style>
  <w:style w:type="character" w:customStyle="1" w:styleId="ae">
    <w:name w:val="註解文字 字元"/>
    <w:basedOn w:val="a1"/>
    <w:link w:val="ad"/>
    <w:rsid w:val="00EB0FBB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4B09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0"/>
    <w:uiPriority w:val="99"/>
    <w:unhideWhenUsed/>
    <w:rsid w:val="00A970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-12">
    <w:name w:val="col-12"/>
    <w:basedOn w:val="a0"/>
    <w:rsid w:val="00A970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semiHidden/>
    <w:rsid w:val="00591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Company>eyecenter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2022-07-12T06:14:00Z</cp:lastPrinted>
  <dcterms:created xsi:type="dcterms:W3CDTF">2024-01-05T06:20:00Z</dcterms:created>
  <dcterms:modified xsi:type="dcterms:W3CDTF">2024-01-05T06:25:00Z</dcterms:modified>
</cp:coreProperties>
</file>